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9EB" w:rsidRPr="003550FA" w:rsidRDefault="004039EB" w:rsidP="006B10BE">
      <w:pPr>
        <w:shd w:val="clear" w:color="auto" w:fill="FFFFFF"/>
        <w:spacing w:before="100" w:beforeAutospacing="1" w:after="100" w:afterAutospacing="1" w:line="240" w:lineRule="auto"/>
        <w:rPr>
          <w:rFonts w:cstheme="minorHAnsi"/>
          <w:b/>
          <w:sz w:val="24"/>
          <w:szCs w:val="24"/>
        </w:rPr>
      </w:pPr>
    </w:p>
    <w:p w:rsidR="004039EB" w:rsidRDefault="00397617" w:rsidP="00C327C8">
      <w:pPr>
        <w:jc w:val="center"/>
        <w:rPr>
          <w:rFonts w:cstheme="minorHAnsi"/>
          <w:b/>
        </w:rPr>
      </w:pPr>
      <w:r w:rsidRPr="004039EB">
        <w:rPr>
          <w:rFonts w:cstheme="minorHAnsi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C2E31C9" wp14:editId="0338C869">
                <wp:simplePos x="0" y="0"/>
                <wp:positionH relativeFrom="column">
                  <wp:posOffset>3371850</wp:posOffset>
                </wp:positionH>
                <wp:positionV relativeFrom="paragraph">
                  <wp:posOffset>12700</wp:posOffset>
                </wp:positionV>
                <wp:extent cx="1376045" cy="1600200"/>
                <wp:effectExtent l="0" t="0" r="1460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6045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9EB" w:rsidRDefault="004039EB">
                            <w:pPr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4039EB" w:rsidRDefault="004039EB">
                            <w:pPr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4039EB" w:rsidRDefault="004039EB">
                            <w:pPr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4039EB" w:rsidRPr="004039EB" w:rsidRDefault="004039EB">
                            <w:pPr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39EB"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  <w:t>Facilitador:</w:t>
                            </w:r>
                          </w:p>
                          <w:p w:rsidR="004039EB" w:rsidRPr="004039EB" w:rsidRDefault="004039EB">
                            <w:pPr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039EB">
                              <w:rPr>
                                <w:rFonts w:ascii="Bernard MT Condensed" w:hAnsi="Bernard MT Condensed"/>
                                <w:color w:val="0D0D0D" w:themeColor="text1" w:themeTint="F2"/>
                                <w:sz w:val="24"/>
                                <w:szCs w:val="24"/>
                                <w:lang w:val="es-ES"/>
                              </w:rPr>
                              <w:t>Dr. Miguel J. Escala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2C2E31C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65.5pt;margin-top:1pt;width:108.35pt;height:1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">
                <v:textbox>
                  <w:txbxContent>
                    <w:p w:rsidR="004039EB" w:rsidRDefault="004039EB">
                      <w:pPr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</w:pPr>
                    </w:p>
                    <w:p w:rsidR="004039EB" w:rsidRDefault="004039EB">
                      <w:pPr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</w:pPr>
                    </w:p>
                    <w:p w:rsidR="004039EB" w:rsidRDefault="004039EB">
                      <w:pPr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</w:pPr>
                    </w:p>
                    <w:p w:rsidR="004039EB" w:rsidRPr="004039EB" w:rsidRDefault="004039EB">
                      <w:pPr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</w:pPr>
                      <w:r w:rsidRPr="004039EB"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  <w:t>Facilitador:</w:t>
                      </w:r>
                    </w:p>
                    <w:p w:rsidR="004039EB" w:rsidRPr="004039EB" w:rsidRDefault="004039EB">
                      <w:pPr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</w:pPr>
                      <w:r w:rsidRPr="004039EB">
                        <w:rPr>
                          <w:rFonts w:ascii="Bernard MT Condensed" w:hAnsi="Bernard MT Condensed"/>
                          <w:color w:val="0D0D0D" w:themeColor="text1" w:themeTint="F2"/>
                          <w:sz w:val="24"/>
                          <w:szCs w:val="24"/>
                          <w:lang w:val="es-ES"/>
                        </w:rPr>
                        <w:t>Dr. Miguel J. Escala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039EB">
        <w:rPr>
          <w:rFonts w:cstheme="minorHAnsi"/>
          <w:b/>
          <w:noProof/>
          <w:sz w:val="36"/>
          <w:szCs w:val="36"/>
          <w:lang w:val="es-ES" w:eastAsia="es-E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0398DF6" wp14:editId="5B07E4E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3282950" cy="1614170"/>
                <wp:effectExtent l="0" t="0" r="12700" b="24130"/>
                <wp:wrapSquare wrapText="bothSides"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950" cy="1614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39EB" w:rsidRPr="004039EB" w:rsidRDefault="004039EB" w:rsidP="004039E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85"/>
                              <w:jc w:val="center"/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36"/>
                                <w:szCs w:val="36"/>
                              </w:rPr>
                            </w:pP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40"/>
                                <w:szCs w:val="40"/>
                              </w:rPr>
                              <w:t xml:space="preserve">TALLER </w:t>
                            </w: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32"/>
                                <w:szCs w:val="32"/>
                              </w:rPr>
                              <w:t>apreciativo</w:t>
                            </w:r>
                          </w:p>
                          <w:p w:rsidR="004039EB" w:rsidRPr="004039EB" w:rsidRDefault="004039EB" w:rsidP="004039EB">
                            <w:pPr>
                              <w:shd w:val="clear" w:color="auto" w:fill="FFFFFF"/>
                              <w:spacing w:before="100" w:beforeAutospacing="1" w:after="100" w:afterAutospacing="1" w:line="240" w:lineRule="auto"/>
                              <w:ind w:left="585"/>
                              <w:jc w:val="center"/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24"/>
                                <w:szCs w:val="24"/>
                              </w:rPr>
                            </w:pP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24"/>
                                <w:szCs w:val="24"/>
                              </w:rPr>
                              <w:t>para el</w:t>
                            </w: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32"/>
                                <w:szCs w:val="32"/>
                              </w:rPr>
                              <w:t xml:space="preserve">Fortalecimiento </w:t>
                            </w: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24"/>
                                <w:szCs w:val="24"/>
                              </w:rPr>
                              <w:t>de la</w:t>
                            </w:r>
                          </w:p>
                          <w:p w:rsidR="004039EB" w:rsidRPr="004039EB" w:rsidRDefault="004039EB" w:rsidP="004039EB">
                            <w:pPr>
                              <w:rPr>
                                <w:rFonts w:ascii="Bernard MT Condensed" w:hAnsi="Bernard MT Condensed"/>
                                <w:color w:val="800000"/>
                                <w:sz w:val="52"/>
                                <w:szCs w:val="52"/>
                              </w:rPr>
                            </w:pPr>
                            <w:r w:rsidRPr="004039EB">
                              <w:rPr>
                                <w:rFonts w:ascii="Bernard MT Condensed" w:hAnsi="Bernard MT Condensed" w:cstheme="minorHAnsi"/>
                                <w:b/>
                                <w:color w:val="800000"/>
                                <w:sz w:val="52"/>
                                <w:szCs w:val="52"/>
                              </w:rPr>
                              <w:t xml:space="preserve"> INTERNACIONALIZACION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20398DF6" id="_x0000_s1027" type="#_x0000_t202" style="position:absolute;left:0;text-align:left;margin-left:0;margin-top:.85pt;width:258.5pt;height:127.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">
                <v:textbox>
                  <w:txbxContent>
                    <w:p w:rsidR="004039EB" w:rsidRPr="004039EB" w:rsidRDefault="004039EB" w:rsidP="004039E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585"/>
                        <w:jc w:val="center"/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36"/>
                          <w:szCs w:val="36"/>
                        </w:rPr>
                      </w:pP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40"/>
                          <w:szCs w:val="40"/>
                        </w:rPr>
                        <w:t xml:space="preserve">TALLER </w:t>
                      </w: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32"/>
                          <w:szCs w:val="32"/>
                        </w:rPr>
                        <w:t>apreciativo</w:t>
                      </w:r>
                    </w:p>
                    <w:p w:rsidR="004039EB" w:rsidRPr="004039EB" w:rsidRDefault="004039EB" w:rsidP="004039EB">
                      <w:pPr>
                        <w:shd w:val="clear" w:color="auto" w:fill="FFFFFF"/>
                        <w:spacing w:before="100" w:beforeAutospacing="1" w:after="100" w:afterAutospacing="1" w:line="240" w:lineRule="auto"/>
                        <w:ind w:left="585"/>
                        <w:jc w:val="center"/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24"/>
                          <w:szCs w:val="24"/>
                        </w:rPr>
                      </w:pP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24"/>
                          <w:szCs w:val="24"/>
                        </w:rPr>
                        <w:t>para el</w:t>
                      </w: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36"/>
                          <w:szCs w:val="36"/>
                        </w:rPr>
                        <w:t xml:space="preserve"> </w:t>
                      </w: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32"/>
                          <w:szCs w:val="32"/>
                        </w:rPr>
                        <w:t xml:space="preserve">Fortalecimiento </w:t>
                      </w: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24"/>
                          <w:szCs w:val="24"/>
                        </w:rPr>
                        <w:t>de la</w:t>
                      </w:r>
                    </w:p>
                    <w:p w:rsidR="004039EB" w:rsidRPr="004039EB" w:rsidRDefault="004039EB" w:rsidP="004039EB">
                      <w:pPr>
                        <w:rPr>
                          <w:rFonts w:ascii="Bernard MT Condensed" w:hAnsi="Bernard MT Condensed"/>
                          <w:color w:val="800000"/>
                          <w:sz w:val="52"/>
                          <w:szCs w:val="52"/>
                        </w:rPr>
                      </w:pPr>
                      <w:r w:rsidRPr="004039EB">
                        <w:rPr>
                          <w:rFonts w:ascii="Bernard MT Condensed" w:hAnsi="Bernard MT Condensed" w:cstheme="minorHAnsi"/>
                          <w:b/>
                          <w:color w:val="800000"/>
                          <w:sz w:val="52"/>
                          <w:szCs w:val="52"/>
                        </w:rPr>
                        <w:t xml:space="preserve"> INTERNACIONALIZACION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039EB" w:rsidRDefault="004039EB" w:rsidP="00C327C8">
      <w:pPr>
        <w:jc w:val="center"/>
        <w:rPr>
          <w:rFonts w:cstheme="minorHAnsi"/>
          <w:b/>
        </w:rPr>
      </w:pPr>
    </w:p>
    <w:p w:rsidR="003550FA" w:rsidRDefault="003550FA" w:rsidP="00C327C8">
      <w:pPr>
        <w:jc w:val="center"/>
        <w:rPr>
          <w:rFonts w:cstheme="minorHAnsi"/>
          <w:b/>
        </w:rPr>
      </w:pPr>
    </w:p>
    <w:p w:rsidR="003550FA" w:rsidRDefault="00E82B00" w:rsidP="00C96C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ernard MT Condensed" w:hAnsi="Bernard MT Condensed" w:cstheme="minorHAnsi"/>
          <w:b/>
          <w:sz w:val="28"/>
          <w:szCs w:val="28"/>
        </w:rPr>
      </w:pPr>
      <w:r>
        <w:rPr>
          <w:rFonts w:ascii="Bernard MT Condensed" w:hAnsi="Bernard MT Condensed" w:cstheme="minorHAnsi"/>
          <w:b/>
          <w:sz w:val="28"/>
          <w:szCs w:val="28"/>
        </w:rPr>
        <w:t xml:space="preserve"> </w:t>
      </w:r>
    </w:p>
    <w:p w:rsidR="00204B28" w:rsidRDefault="00204B28" w:rsidP="00C96C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ernard MT Condensed" w:hAnsi="Bernard MT Condensed" w:cstheme="minorHAnsi"/>
          <w:b/>
          <w:sz w:val="28"/>
          <w:szCs w:val="28"/>
        </w:rPr>
      </w:pPr>
    </w:p>
    <w:p w:rsidR="006B10BE" w:rsidRDefault="006B10BE" w:rsidP="00C96C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ernard MT Condensed" w:hAnsi="Bernard MT Condensed" w:cstheme="minorHAnsi"/>
          <w:b/>
          <w:sz w:val="28"/>
          <w:szCs w:val="28"/>
        </w:rPr>
      </w:pPr>
    </w:p>
    <w:p w:rsidR="00C96CE9" w:rsidRPr="00E23206" w:rsidRDefault="00E82B00" w:rsidP="00C96CE9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>
        <w:rPr>
          <w:rFonts w:ascii="Bernard MT Condensed" w:hAnsi="Bernard MT Condensed" w:cstheme="minorHAnsi"/>
          <w:b/>
          <w:sz w:val="28"/>
          <w:szCs w:val="28"/>
        </w:rPr>
        <w:t xml:space="preserve"> </w:t>
      </w:r>
      <w:r w:rsidR="00D12DC4">
        <w:rPr>
          <w:rFonts w:ascii="Bernard MT Condensed" w:hAnsi="Bernard MT Condensed" w:cstheme="minorHAnsi"/>
          <w:b/>
          <w:sz w:val="28"/>
          <w:szCs w:val="28"/>
        </w:rPr>
        <w:t xml:space="preserve">Introducción </w:t>
      </w:r>
      <w:r w:rsidR="003550FA">
        <w:rPr>
          <w:rFonts w:ascii="Bernard MT Condensed" w:hAnsi="Bernard MT Condensed" w:cstheme="minorHAnsi"/>
          <w:b/>
          <w:sz w:val="28"/>
          <w:szCs w:val="28"/>
        </w:rPr>
        <w:t>y Objetivo</w:t>
      </w:r>
      <w:r w:rsidR="00C96CE9" w:rsidRPr="00C96CE9">
        <w:rPr>
          <w:rFonts w:cstheme="minorHAnsi"/>
          <w:sz w:val="24"/>
          <w:szCs w:val="24"/>
        </w:rPr>
        <w:t xml:space="preserve"> </w:t>
      </w:r>
      <w:r w:rsidR="00D12DC4">
        <w:rPr>
          <w:rFonts w:cstheme="minorHAnsi"/>
          <w:sz w:val="24"/>
          <w:szCs w:val="24"/>
        </w:rPr>
        <w:t xml:space="preserve">La internacionalización, entendida como el proceso de integración de la dimensión internacional, intercultural y/o global en los </w:t>
      </w:r>
      <w:r w:rsidR="003550FA">
        <w:rPr>
          <w:rFonts w:cstheme="minorHAnsi"/>
          <w:sz w:val="24"/>
          <w:szCs w:val="24"/>
        </w:rPr>
        <w:t>objetivos, funciones</w:t>
      </w:r>
      <w:r w:rsidR="00D12DC4">
        <w:rPr>
          <w:rFonts w:cstheme="minorHAnsi"/>
          <w:sz w:val="24"/>
          <w:szCs w:val="24"/>
        </w:rPr>
        <w:t xml:space="preserve"> y </w:t>
      </w:r>
      <w:r w:rsidR="003550FA">
        <w:rPr>
          <w:rFonts w:cstheme="minorHAnsi"/>
          <w:sz w:val="24"/>
          <w:szCs w:val="24"/>
        </w:rPr>
        <w:t>suministro de</w:t>
      </w:r>
      <w:r w:rsidR="00D12DC4">
        <w:rPr>
          <w:rFonts w:cstheme="minorHAnsi"/>
          <w:sz w:val="24"/>
          <w:szCs w:val="24"/>
        </w:rPr>
        <w:t xml:space="preserve"> la educación </w:t>
      </w:r>
      <w:r w:rsidR="003550FA">
        <w:rPr>
          <w:rFonts w:cstheme="minorHAnsi"/>
          <w:sz w:val="24"/>
          <w:szCs w:val="24"/>
        </w:rPr>
        <w:t>superior</w:t>
      </w:r>
      <w:r w:rsidR="003550FA" w:rsidRPr="00E23206">
        <w:rPr>
          <w:rFonts w:cstheme="minorHAnsi"/>
          <w:sz w:val="24"/>
          <w:szCs w:val="24"/>
        </w:rPr>
        <w:t xml:space="preserve"> </w:t>
      </w:r>
      <w:r w:rsidR="003550FA">
        <w:rPr>
          <w:rFonts w:cstheme="minorHAnsi"/>
          <w:sz w:val="24"/>
          <w:szCs w:val="24"/>
        </w:rPr>
        <w:t>es</w:t>
      </w:r>
      <w:r w:rsidR="00D12DC4">
        <w:rPr>
          <w:rFonts w:cstheme="minorHAnsi"/>
          <w:sz w:val="24"/>
          <w:szCs w:val="24"/>
        </w:rPr>
        <w:t xml:space="preserve"> esencial para la mejora de la calidad y de la eficiencia, y para la formación de profesionales capaces de competir en un entorno global. La internacionalización puede construirse </w:t>
      </w:r>
      <w:r w:rsidR="00E05FA6">
        <w:rPr>
          <w:rFonts w:cstheme="minorHAnsi"/>
          <w:sz w:val="24"/>
          <w:szCs w:val="24"/>
        </w:rPr>
        <w:t>a partir de distintas estrategias; la que se apoya desde el taller que se plantea aquí es una estrategia “</w:t>
      </w:r>
      <w:proofErr w:type="spellStart"/>
      <w:r w:rsidR="00E05FA6">
        <w:rPr>
          <w:rFonts w:cstheme="minorHAnsi"/>
          <w:sz w:val="24"/>
          <w:szCs w:val="24"/>
        </w:rPr>
        <w:t>bottom</w:t>
      </w:r>
      <w:proofErr w:type="spellEnd"/>
      <w:r w:rsidR="00E05FA6">
        <w:rPr>
          <w:rFonts w:cstheme="minorHAnsi"/>
          <w:sz w:val="24"/>
          <w:szCs w:val="24"/>
        </w:rPr>
        <w:t xml:space="preserve"> up”, partiendo desde la propia comunidad universitaria y los centros, para, a partir de ahí, diseñar una estrategia participativa y basada en las singularidades fortalezas y oportunidades de los mismos.  El objetivo del taller</w:t>
      </w:r>
      <w:r w:rsidR="00C96CE9" w:rsidRPr="00E23206">
        <w:rPr>
          <w:rFonts w:cstheme="minorHAnsi"/>
          <w:color w:val="0D0D0D" w:themeColor="text1" w:themeTint="F2"/>
          <w:sz w:val="24"/>
          <w:szCs w:val="24"/>
        </w:rPr>
        <w:t xml:space="preserve"> es trabajar de forma conjunta (docentes, personal de administración y estudiantes) en iniciativas decididas por todos, que ayuden a fortalecer la internacionalización de la UHU. Se espera que al final del mismo los participantes hayan construido un conjunto de proyectos que podrán ejecutarse y que contribuirán</w:t>
      </w:r>
      <w:r w:rsidR="00C96CE9" w:rsidRPr="00E23206">
        <w:rPr>
          <w:rFonts w:cstheme="minorHAnsi"/>
          <w:sz w:val="24"/>
          <w:szCs w:val="24"/>
        </w:rPr>
        <w:t xml:space="preserve"> al citado fortalecimiento en internacionalización.</w:t>
      </w:r>
    </w:p>
    <w:p w:rsidR="00E23206" w:rsidRPr="00135B12" w:rsidRDefault="00E82B00" w:rsidP="00135B12">
      <w:pPr>
        <w:shd w:val="clear" w:color="auto" w:fill="FFFFFF"/>
        <w:spacing w:before="100" w:beforeAutospacing="1" w:after="100" w:afterAutospacing="1" w:line="240" w:lineRule="auto"/>
        <w:jc w:val="both"/>
        <w:rPr>
          <w:rFonts w:cstheme="minorHAnsi"/>
          <w:sz w:val="24"/>
          <w:szCs w:val="24"/>
        </w:rPr>
      </w:pPr>
      <w:r w:rsidRPr="00E82B00">
        <w:rPr>
          <w:rFonts w:ascii="Bernard MT Condensed" w:hAnsi="Bernard MT Condensed" w:cstheme="minorHAnsi"/>
          <w:b/>
          <w:sz w:val="28"/>
          <w:szCs w:val="28"/>
        </w:rPr>
        <w:t xml:space="preserve">     Participantes</w:t>
      </w:r>
      <w:r w:rsidR="00135B12">
        <w:rPr>
          <w:rFonts w:ascii="Bernard MT Condensed" w:hAnsi="Bernard MT Condensed" w:cstheme="minorHAnsi"/>
          <w:b/>
          <w:sz w:val="28"/>
          <w:szCs w:val="28"/>
        </w:rPr>
        <w:t xml:space="preserve"> </w:t>
      </w:r>
      <w:r w:rsidR="00135B12" w:rsidRPr="00E23206">
        <w:rPr>
          <w:rFonts w:cstheme="minorHAnsi"/>
          <w:sz w:val="24"/>
          <w:szCs w:val="24"/>
        </w:rPr>
        <w:t>Podrá participar cualquier miembro de la comunidad universitaria (docentes, PAS o estudiantes), interesado en el proceso de internacionalización de la universidad, hasta 45 personas.</w:t>
      </w:r>
      <w:r>
        <w:rPr>
          <w:rFonts w:ascii="Bernard MT Condensed" w:hAnsi="Bernard MT Condensed" w:cstheme="minorHAnsi"/>
          <w:b/>
          <w:sz w:val="28"/>
          <w:szCs w:val="28"/>
        </w:rPr>
        <w:t xml:space="preserve">     </w:t>
      </w:r>
    </w:p>
    <w:p w:rsidR="00135B12" w:rsidRDefault="00E23206" w:rsidP="00135B12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ascii="Bernard MT Condensed" w:hAnsi="Bernard MT Condensed" w:cstheme="minorHAnsi"/>
          <w:b/>
          <w:sz w:val="28"/>
          <w:szCs w:val="28"/>
        </w:rPr>
        <w:t xml:space="preserve">     </w:t>
      </w:r>
      <w:r w:rsidR="00C20BC1" w:rsidRPr="00E82B00">
        <w:rPr>
          <w:rFonts w:ascii="Bernard MT Condensed" w:hAnsi="Bernard MT Condensed" w:cstheme="minorHAnsi"/>
          <w:b/>
          <w:sz w:val="28"/>
          <w:szCs w:val="28"/>
        </w:rPr>
        <w:t>Inscripción</w:t>
      </w:r>
      <w:r w:rsidR="00135B12">
        <w:rPr>
          <w:rFonts w:ascii="Bernard MT Condensed" w:hAnsi="Bernard MT Condensed" w:cstheme="minorHAnsi"/>
          <w:b/>
          <w:sz w:val="28"/>
          <w:szCs w:val="28"/>
        </w:rPr>
        <w:t xml:space="preserve"> </w:t>
      </w:r>
      <w:r w:rsidR="00135B12" w:rsidRPr="00E23206">
        <w:rPr>
          <w:rFonts w:cstheme="minorHAnsi"/>
          <w:sz w:val="24"/>
          <w:szCs w:val="24"/>
        </w:rPr>
        <w:t>Los interesados deberán inscribirse</w:t>
      </w:r>
      <w:r w:rsidR="003550FA">
        <w:rPr>
          <w:rFonts w:cstheme="minorHAnsi"/>
          <w:sz w:val="24"/>
          <w:szCs w:val="24"/>
        </w:rPr>
        <w:t xml:space="preserve"> online a través del enlace disponible en la web del Servicio de Relaciones Internacionales (</w:t>
      </w:r>
      <w:r w:rsidR="003550FA" w:rsidRPr="003550FA">
        <w:rPr>
          <w:rFonts w:cstheme="minorHAnsi"/>
          <w:sz w:val="24"/>
          <w:szCs w:val="24"/>
        </w:rPr>
        <w:t>http://www.uhu.es/sric/</w:t>
      </w:r>
      <w:r w:rsidR="003550FA">
        <w:rPr>
          <w:rFonts w:cstheme="minorHAnsi"/>
          <w:sz w:val="24"/>
          <w:szCs w:val="24"/>
        </w:rPr>
        <w:t>)</w:t>
      </w:r>
      <w:r w:rsidR="00135B12" w:rsidRPr="00E23206">
        <w:rPr>
          <w:rFonts w:cstheme="minorHAnsi"/>
          <w:sz w:val="24"/>
          <w:szCs w:val="24"/>
        </w:rPr>
        <w:t xml:space="preserve">. Las solicitudes se atenderán por orden de llegada a partir del anuncio de esta convocatoria, pero buscando el equilibrio entre el número de participantes docentes, personal de administración y servicios, estudiantes y directivos, por lo que la inscripción se cerrará en el momento que se cubran las plazas, si </w:t>
      </w:r>
      <w:r w:rsidR="003550FA" w:rsidRPr="00E23206">
        <w:rPr>
          <w:rFonts w:cstheme="minorHAnsi"/>
          <w:sz w:val="24"/>
          <w:szCs w:val="24"/>
        </w:rPr>
        <w:t>bien se</w:t>
      </w:r>
      <w:r w:rsidR="00135B12" w:rsidRPr="00E23206">
        <w:rPr>
          <w:rFonts w:cstheme="minorHAnsi"/>
          <w:sz w:val="24"/>
          <w:szCs w:val="24"/>
        </w:rPr>
        <w:t xml:space="preserve"> seguirán aceptando solicitudes posteriores para cubrir posibles renuncias, hasta el día 15 de abril de 2018.</w:t>
      </w:r>
      <w:r w:rsidR="00135B12">
        <w:rPr>
          <w:rFonts w:cstheme="minorHAnsi"/>
          <w:sz w:val="24"/>
          <w:szCs w:val="24"/>
        </w:rPr>
        <w:t xml:space="preserve"> </w:t>
      </w:r>
    </w:p>
    <w:p w:rsidR="00135B12" w:rsidRPr="00E23206" w:rsidRDefault="00135B12" w:rsidP="00135B12">
      <w:pPr>
        <w:shd w:val="clear" w:color="auto" w:fill="FFFFFF"/>
        <w:spacing w:after="0" w:line="240" w:lineRule="auto"/>
        <w:jc w:val="both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>Al final del taller se expedirá un diploma acreditativo</w:t>
      </w:r>
      <w:r w:rsidR="00204B28">
        <w:rPr>
          <w:rFonts w:cstheme="minorHAnsi"/>
          <w:sz w:val="24"/>
          <w:szCs w:val="24"/>
        </w:rPr>
        <w:t>.</w:t>
      </w:r>
    </w:p>
    <w:p w:rsidR="0032455F" w:rsidRDefault="00E23206" w:rsidP="0032455F">
      <w:pPr>
        <w:shd w:val="clear" w:color="auto" w:fill="FFFFFF"/>
        <w:spacing w:before="100" w:beforeAutospacing="1" w:after="100" w:afterAutospacing="1" w:line="240" w:lineRule="auto"/>
        <w:jc w:val="both"/>
        <w:rPr>
          <w:sz w:val="24"/>
          <w:szCs w:val="24"/>
          <w:lang w:val="es-ES"/>
        </w:rPr>
      </w:pPr>
      <w:r w:rsidRPr="00E23206">
        <w:rPr>
          <w:rFonts w:ascii="Bernard MT Condensed" w:hAnsi="Bernard MT Condensed" w:cstheme="minorHAnsi"/>
          <w:b/>
          <w:sz w:val="28"/>
          <w:szCs w:val="28"/>
        </w:rPr>
        <w:lastRenderedPageBreak/>
        <w:t>Lugar y fecha</w:t>
      </w:r>
      <w:r w:rsidR="00135B12">
        <w:rPr>
          <w:rFonts w:ascii="Bernard MT Condensed" w:hAnsi="Bernard MT Condensed" w:cstheme="minorHAnsi"/>
          <w:b/>
          <w:sz w:val="28"/>
          <w:szCs w:val="28"/>
        </w:rPr>
        <w:t xml:space="preserve"> </w:t>
      </w:r>
      <w:r w:rsidR="00204B28">
        <w:rPr>
          <w:sz w:val="24"/>
          <w:szCs w:val="24"/>
          <w:lang w:val="es-ES"/>
        </w:rPr>
        <w:t xml:space="preserve">Salón de Grados de Humanidades, </w:t>
      </w:r>
      <w:r w:rsidR="00135B12" w:rsidRPr="00E23206">
        <w:rPr>
          <w:sz w:val="24"/>
          <w:szCs w:val="24"/>
          <w:lang w:val="es-ES"/>
        </w:rPr>
        <w:t xml:space="preserve">26 de abril de 16 a 20 h y 27 de abril de 9 </w:t>
      </w:r>
      <w:r w:rsidR="00204B28">
        <w:rPr>
          <w:sz w:val="24"/>
          <w:szCs w:val="24"/>
          <w:lang w:val="es-ES"/>
        </w:rPr>
        <w:t>a 13</w:t>
      </w:r>
      <w:r w:rsidR="00204B28">
        <w:t>h</w:t>
      </w:r>
      <w:r w:rsidR="00204B28">
        <w:rPr>
          <w:sz w:val="24"/>
          <w:szCs w:val="24"/>
          <w:lang w:val="es-ES"/>
        </w:rPr>
        <w:t>.</w:t>
      </w:r>
    </w:p>
    <w:p w:rsidR="00E23206" w:rsidRPr="00E23206" w:rsidRDefault="00E05FA6" w:rsidP="0032455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Bernard MT Condensed" w:hAnsi="Bernard MT Condensed" w:cstheme="minorHAnsi"/>
          <w:b/>
          <w:color w:val="800000"/>
          <w:sz w:val="28"/>
          <w:szCs w:val="28"/>
        </w:rPr>
      </w:pPr>
      <w:r>
        <w:rPr>
          <w:rFonts w:ascii="Bernard MT Condensed" w:hAnsi="Bernard MT Condensed" w:cstheme="minorHAnsi"/>
          <w:b/>
          <w:color w:val="800000"/>
          <w:sz w:val="28"/>
          <w:szCs w:val="28"/>
          <w:lang w:val="es-ES"/>
        </w:rPr>
        <w:t>De</w:t>
      </w:r>
      <w:proofErr w:type="spellStart"/>
      <w:r w:rsidR="00E23206" w:rsidRPr="00E23206">
        <w:rPr>
          <w:rFonts w:ascii="Bernard MT Condensed" w:hAnsi="Bernard MT Condensed" w:cstheme="minorHAnsi"/>
          <w:b/>
          <w:color w:val="800000"/>
          <w:sz w:val="28"/>
          <w:szCs w:val="28"/>
        </w:rPr>
        <w:t>scripción</w:t>
      </w:r>
      <w:proofErr w:type="spellEnd"/>
      <w:r w:rsidR="00E23206" w:rsidRPr="00E23206">
        <w:rPr>
          <w:rFonts w:ascii="Bernard MT Condensed" w:hAnsi="Bernard MT Condensed" w:cstheme="minorHAnsi"/>
          <w:b/>
          <w:color w:val="800000"/>
          <w:sz w:val="28"/>
          <w:szCs w:val="28"/>
        </w:rPr>
        <w:t xml:space="preserve"> del taller</w:t>
      </w:r>
    </w:p>
    <w:p w:rsidR="00C327C8" w:rsidRPr="00E23206" w:rsidRDefault="00C327C8" w:rsidP="00C327C8">
      <w:pPr>
        <w:jc w:val="both"/>
        <w:rPr>
          <w:rFonts w:cstheme="minorHAnsi"/>
          <w:sz w:val="24"/>
          <w:szCs w:val="24"/>
        </w:rPr>
      </w:pPr>
      <w:r w:rsidRPr="00E23206">
        <w:rPr>
          <w:rFonts w:cstheme="minorHAnsi"/>
          <w:b/>
          <w:sz w:val="24"/>
          <w:szCs w:val="24"/>
        </w:rPr>
        <w:t xml:space="preserve">Metodología: </w:t>
      </w:r>
      <w:r w:rsidRPr="00E23206">
        <w:rPr>
          <w:rFonts w:cstheme="minorHAnsi"/>
          <w:sz w:val="24"/>
          <w:szCs w:val="24"/>
        </w:rPr>
        <w:t xml:space="preserve">Se utilizará una metodología de taller, con explicaciones breves, trabajo en grupo y plenarias para compartir lo trabajado.  El taller será un taller “apreciativo” porque se fundamentará en la </w:t>
      </w:r>
      <w:r w:rsidRPr="00E23206">
        <w:rPr>
          <w:rFonts w:cstheme="minorHAnsi"/>
          <w:i/>
          <w:sz w:val="24"/>
          <w:szCs w:val="24"/>
        </w:rPr>
        <w:t>Indagación Apreciativa</w:t>
      </w:r>
      <w:r w:rsidRPr="00E23206">
        <w:rPr>
          <w:rFonts w:cstheme="minorHAnsi"/>
          <w:sz w:val="24"/>
          <w:szCs w:val="24"/>
        </w:rPr>
        <w:t xml:space="preserve"> la cual lleva a una construcción colectiva a partir de las riquezas y logros organizacionales.</w:t>
      </w:r>
    </w:p>
    <w:p w:rsidR="00C327C8" w:rsidRPr="009B057F" w:rsidRDefault="0093197D" w:rsidP="00C327C8">
      <w:pPr>
        <w:rPr>
          <w:rFonts w:cstheme="minorHAnsi"/>
          <w:b/>
          <w:color w:val="FF0000"/>
          <w:sz w:val="28"/>
          <w:szCs w:val="28"/>
        </w:rPr>
      </w:pPr>
      <w:r w:rsidRPr="009B057F">
        <w:rPr>
          <w:rFonts w:cstheme="minorHAnsi"/>
          <w:b/>
          <w:sz w:val="28"/>
          <w:szCs w:val="28"/>
        </w:rPr>
        <w:t>DIA 26 P</w:t>
      </w:r>
      <w:r w:rsidR="00C327C8" w:rsidRPr="009B057F">
        <w:rPr>
          <w:rFonts w:cstheme="minorHAnsi"/>
          <w:b/>
          <w:sz w:val="28"/>
          <w:szCs w:val="28"/>
        </w:rPr>
        <w:t>M</w:t>
      </w:r>
      <w:r w:rsidR="003E72A0" w:rsidRPr="009B057F">
        <w:rPr>
          <w:rFonts w:cstheme="minorHAnsi"/>
          <w:b/>
          <w:sz w:val="28"/>
          <w:szCs w:val="28"/>
        </w:rPr>
        <w:t xml:space="preserve"> (16-20 h)</w:t>
      </w:r>
      <w:r w:rsidR="002C015B" w:rsidRPr="009B057F">
        <w:rPr>
          <w:rFonts w:cstheme="minorHAnsi"/>
          <w:b/>
          <w:color w:val="FF0000"/>
          <w:sz w:val="28"/>
          <w:szCs w:val="28"/>
        </w:rPr>
        <w:t xml:space="preserve">  </w:t>
      </w:r>
    </w:p>
    <w:p w:rsidR="00C327C8" w:rsidRPr="00E23206" w:rsidRDefault="00C327C8" w:rsidP="0093197D">
      <w:pPr>
        <w:pStyle w:val="Prrafodelista"/>
        <w:numPr>
          <w:ilvl w:val="0"/>
          <w:numId w:val="1"/>
        </w:numPr>
        <w:spacing w:after="0"/>
        <w:ind w:left="360"/>
        <w:rPr>
          <w:rFonts w:cstheme="minorHAnsi"/>
          <w:b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Inauguración y </w:t>
      </w:r>
      <w:r w:rsidRPr="00E23206">
        <w:rPr>
          <w:rFonts w:cstheme="minorHAnsi"/>
          <w:b/>
          <w:sz w:val="24"/>
          <w:szCs w:val="24"/>
        </w:rPr>
        <w:t xml:space="preserve">DEFINICIÓN </w:t>
      </w:r>
      <w:r w:rsidRPr="00E23206">
        <w:rPr>
          <w:rFonts w:cstheme="minorHAnsi"/>
          <w:sz w:val="24"/>
          <w:szCs w:val="24"/>
        </w:rPr>
        <w:t>del objetivo del taller.   (</w:t>
      </w:r>
      <w:r w:rsidRPr="00E23206">
        <w:rPr>
          <w:rFonts w:cstheme="minorHAnsi"/>
          <w:b/>
          <w:sz w:val="24"/>
          <w:szCs w:val="24"/>
        </w:rPr>
        <w:t xml:space="preserve">Directivo de la </w:t>
      </w:r>
      <w:r w:rsidR="0093197D" w:rsidRPr="00E23206">
        <w:rPr>
          <w:rFonts w:cstheme="minorHAnsi"/>
          <w:b/>
          <w:sz w:val="24"/>
          <w:szCs w:val="24"/>
        </w:rPr>
        <w:t>UH</w:t>
      </w:r>
      <w:r w:rsidRPr="00E23206">
        <w:rPr>
          <w:rFonts w:cstheme="minorHAnsi"/>
          <w:b/>
          <w:sz w:val="24"/>
          <w:szCs w:val="24"/>
        </w:rPr>
        <w:t>)</w:t>
      </w:r>
    </w:p>
    <w:p w:rsidR="00C327C8" w:rsidRPr="00E23206" w:rsidRDefault="00C327C8" w:rsidP="0093197D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2.    Entrevista a panel de participantes de diferentes niveles y edades.   </w:t>
      </w:r>
      <w:r w:rsidRPr="00E23206">
        <w:rPr>
          <w:rFonts w:cstheme="minorHAnsi"/>
          <w:b/>
          <w:sz w:val="24"/>
          <w:szCs w:val="24"/>
        </w:rPr>
        <w:t>(Entrevistador  Miguel J. Escala)</w:t>
      </w:r>
    </w:p>
    <w:p w:rsidR="004C0891" w:rsidRPr="00E23206" w:rsidRDefault="00C327C8" w:rsidP="00C327C8">
      <w:pPr>
        <w:spacing w:after="0"/>
        <w:rPr>
          <w:rFonts w:cstheme="minorHAnsi"/>
          <w:b/>
          <w:color w:val="0D0D0D" w:themeColor="text1" w:themeTint="F2"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3.  </w:t>
      </w:r>
      <w:r w:rsidR="004C0891" w:rsidRPr="00E23206">
        <w:rPr>
          <w:rFonts w:cstheme="minorHAnsi"/>
          <w:sz w:val="24"/>
          <w:szCs w:val="24"/>
        </w:rPr>
        <w:t xml:space="preserve">  Diálogo con los participantes con la segunda D:</w:t>
      </w:r>
      <w:r w:rsidRPr="00E23206">
        <w:rPr>
          <w:rFonts w:cstheme="minorHAnsi"/>
          <w:sz w:val="24"/>
          <w:szCs w:val="24"/>
        </w:rPr>
        <w:t xml:space="preserve"> </w:t>
      </w:r>
      <w:r w:rsidR="002C015B" w:rsidRPr="00E23206">
        <w:rPr>
          <w:rFonts w:cstheme="minorHAnsi"/>
          <w:b/>
          <w:sz w:val="24"/>
          <w:szCs w:val="24"/>
        </w:rPr>
        <w:t>DECL</w:t>
      </w:r>
      <w:r w:rsidR="002C015B" w:rsidRPr="00E23206">
        <w:rPr>
          <w:rFonts w:cstheme="minorHAnsi"/>
          <w:b/>
          <w:color w:val="0D0D0D" w:themeColor="text1" w:themeTint="F2"/>
          <w:sz w:val="24"/>
          <w:szCs w:val="24"/>
        </w:rPr>
        <w:t>ARACIÓ</w:t>
      </w:r>
      <w:r w:rsidRPr="00E23206">
        <w:rPr>
          <w:rFonts w:cstheme="minorHAnsi"/>
          <w:b/>
          <w:color w:val="0D0D0D" w:themeColor="text1" w:themeTint="F2"/>
          <w:sz w:val="24"/>
          <w:szCs w:val="24"/>
        </w:rPr>
        <w:t>N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color w:val="0D0D0D" w:themeColor="text1" w:themeTint="F2"/>
          <w:sz w:val="24"/>
          <w:szCs w:val="24"/>
        </w:rPr>
        <w:t>4</w:t>
      </w:r>
      <w:r w:rsidRPr="00E23206">
        <w:rPr>
          <w:rFonts w:cstheme="minorHAnsi"/>
          <w:sz w:val="24"/>
          <w:szCs w:val="24"/>
        </w:rPr>
        <w:t>.    Presentación de las seis D de la Indagación apreciativa o camino a</w:t>
      </w:r>
      <w:r w:rsidR="00E52AD9" w:rsidRPr="00E23206">
        <w:rPr>
          <w:rFonts w:cstheme="minorHAnsi"/>
          <w:sz w:val="24"/>
          <w:szCs w:val="24"/>
        </w:rPr>
        <w:t xml:space="preserve"> seguir en el T</w:t>
      </w:r>
      <w:r w:rsidRPr="00E23206">
        <w:rPr>
          <w:rFonts w:cstheme="minorHAnsi"/>
          <w:sz w:val="24"/>
          <w:szCs w:val="24"/>
        </w:rPr>
        <w:t xml:space="preserve">aller:          </w:t>
      </w:r>
    </w:p>
    <w:p w:rsidR="00E52AD9" w:rsidRPr="00E23206" w:rsidRDefault="00E52AD9" w:rsidP="00C327C8">
      <w:pPr>
        <w:spacing w:after="0"/>
        <w:rPr>
          <w:rFonts w:cstheme="minorHAnsi"/>
          <w:sz w:val="24"/>
          <w:szCs w:val="24"/>
        </w:rPr>
      </w:pP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>RECESO</w:t>
      </w:r>
      <w:r w:rsidR="003E72A0" w:rsidRPr="00E23206">
        <w:rPr>
          <w:rFonts w:cstheme="minorHAnsi"/>
          <w:sz w:val="24"/>
          <w:szCs w:val="24"/>
        </w:rPr>
        <w:t xml:space="preserve"> (20 minutos)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5.    Trabajo en equipos con la tercera D: </w:t>
      </w:r>
      <w:r w:rsidRPr="00E23206">
        <w:rPr>
          <w:rFonts w:cstheme="minorHAnsi"/>
          <w:b/>
          <w:sz w:val="24"/>
          <w:szCs w:val="24"/>
        </w:rPr>
        <w:t xml:space="preserve">DESCUBRIMIENTO. </w:t>
      </w:r>
    </w:p>
    <w:p w:rsidR="00273440" w:rsidRPr="00E23206" w:rsidRDefault="00C327C8" w:rsidP="00E23206">
      <w:pPr>
        <w:rPr>
          <w:rFonts w:cstheme="minorHAnsi"/>
          <w:b/>
          <w:sz w:val="24"/>
          <w:szCs w:val="24"/>
        </w:rPr>
      </w:pPr>
      <w:r w:rsidRPr="00E23206">
        <w:rPr>
          <w:rFonts w:cstheme="minorHAnsi"/>
          <w:sz w:val="24"/>
          <w:szCs w:val="24"/>
        </w:rPr>
        <w:t>6.    Plenaria del trabajo con la tercera D.</w:t>
      </w:r>
    </w:p>
    <w:p w:rsidR="00E52AD9" w:rsidRPr="009B057F" w:rsidRDefault="0093197D" w:rsidP="00E23206">
      <w:pPr>
        <w:rPr>
          <w:rFonts w:cstheme="minorHAnsi"/>
          <w:b/>
          <w:sz w:val="28"/>
          <w:szCs w:val="28"/>
        </w:rPr>
      </w:pPr>
      <w:r w:rsidRPr="009B057F">
        <w:rPr>
          <w:rFonts w:cstheme="minorHAnsi"/>
          <w:b/>
          <w:sz w:val="28"/>
          <w:szCs w:val="28"/>
        </w:rPr>
        <w:t xml:space="preserve">DIA 27 </w:t>
      </w:r>
      <w:r w:rsidR="004C0891" w:rsidRPr="009B057F">
        <w:rPr>
          <w:rFonts w:cstheme="minorHAnsi"/>
          <w:b/>
          <w:sz w:val="28"/>
          <w:szCs w:val="28"/>
        </w:rPr>
        <w:t>A</w:t>
      </w:r>
      <w:r w:rsidR="00C327C8" w:rsidRPr="009B057F">
        <w:rPr>
          <w:rFonts w:cstheme="minorHAnsi"/>
          <w:b/>
          <w:sz w:val="28"/>
          <w:szCs w:val="28"/>
        </w:rPr>
        <w:t>M</w:t>
      </w:r>
      <w:r w:rsidR="003E72A0" w:rsidRPr="009B057F">
        <w:rPr>
          <w:rFonts w:cstheme="minorHAnsi"/>
          <w:b/>
          <w:sz w:val="28"/>
          <w:szCs w:val="28"/>
        </w:rPr>
        <w:t xml:space="preserve"> (</w:t>
      </w:r>
      <w:r w:rsidR="00E23206" w:rsidRPr="009B057F">
        <w:rPr>
          <w:rFonts w:cstheme="minorHAnsi"/>
          <w:b/>
          <w:sz w:val="28"/>
          <w:szCs w:val="28"/>
        </w:rPr>
        <w:t>9- 13 h</w:t>
      </w:r>
      <w:r w:rsidR="003E72A0" w:rsidRPr="009B057F">
        <w:rPr>
          <w:rFonts w:cstheme="minorHAnsi"/>
          <w:b/>
          <w:sz w:val="28"/>
          <w:szCs w:val="28"/>
        </w:rPr>
        <w:t xml:space="preserve">) </w:t>
      </w:r>
    </w:p>
    <w:p w:rsidR="00C327C8" w:rsidRPr="00E23206" w:rsidRDefault="00C327C8" w:rsidP="00C327C8">
      <w:pPr>
        <w:spacing w:after="0"/>
        <w:rPr>
          <w:rFonts w:cstheme="minorHAnsi"/>
          <w:b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7.    Trabajo en equipos con la cuarta D: </w:t>
      </w:r>
      <w:r w:rsidRPr="00E23206">
        <w:rPr>
          <w:rFonts w:cstheme="minorHAnsi"/>
          <w:b/>
          <w:sz w:val="24"/>
          <w:szCs w:val="24"/>
        </w:rPr>
        <w:t>DREAM, DESEO o SUEÑO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b/>
          <w:sz w:val="24"/>
          <w:szCs w:val="24"/>
        </w:rPr>
        <w:t xml:space="preserve">8.    </w:t>
      </w:r>
      <w:r w:rsidRPr="00E23206">
        <w:rPr>
          <w:rFonts w:cstheme="minorHAnsi"/>
          <w:sz w:val="24"/>
          <w:szCs w:val="24"/>
        </w:rPr>
        <w:t>Plenaria del trabajo con la cuarta D.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       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>RECESO</w:t>
      </w:r>
      <w:r w:rsidR="003E72A0" w:rsidRPr="00E23206">
        <w:rPr>
          <w:rFonts w:cstheme="minorHAnsi"/>
          <w:sz w:val="24"/>
          <w:szCs w:val="24"/>
        </w:rPr>
        <w:t xml:space="preserve"> (20 minutos)</w:t>
      </w:r>
    </w:p>
    <w:p w:rsidR="00C327C8" w:rsidRPr="00E23206" w:rsidRDefault="00C327C8" w:rsidP="00C327C8">
      <w:pPr>
        <w:spacing w:after="0"/>
        <w:rPr>
          <w:rFonts w:cstheme="minorHAnsi"/>
          <w:b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9.    Trabajo en equipos con la quinta D: </w:t>
      </w:r>
      <w:r w:rsidRPr="00E23206">
        <w:rPr>
          <w:rFonts w:cstheme="minorHAnsi"/>
          <w:b/>
          <w:sz w:val="24"/>
          <w:szCs w:val="24"/>
        </w:rPr>
        <w:t>DISEÑO</w:t>
      </w:r>
    </w:p>
    <w:p w:rsidR="00C327C8" w:rsidRPr="00E23206" w:rsidRDefault="00C327C8" w:rsidP="00C327C8">
      <w:pPr>
        <w:spacing w:after="0"/>
        <w:rPr>
          <w:rFonts w:cstheme="minorHAnsi"/>
          <w:b/>
          <w:sz w:val="24"/>
          <w:szCs w:val="24"/>
        </w:rPr>
      </w:pPr>
      <w:r w:rsidRPr="00E23206">
        <w:rPr>
          <w:rFonts w:cstheme="minorHAnsi"/>
          <w:b/>
          <w:sz w:val="24"/>
          <w:szCs w:val="24"/>
        </w:rPr>
        <w:t xml:space="preserve">10.  </w:t>
      </w:r>
      <w:r w:rsidRPr="00E23206">
        <w:rPr>
          <w:rFonts w:cstheme="minorHAnsi"/>
          <w:sz w:val="24"/>
          <w:szCs w:val="24"/>
        </w:rPr>
        <w:t>Plenaria del trabajo con la quinta D.</w:t>
      </w:r>
    </w:p>
    <w:p w:rsidR="00C327C8" w:rsidRPr="00E23206" w:rsidRDefault="00C327C8" w:rsidP="00C327C8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 xml:space="preserve">11.  Previsiones para la Implementación  (sexta D: </w:t>
      </w:r>
      <w:r w:rsidRPr="00E23206">
        <w:rPr>
          <w:rFonts w:cstheme="minorHAnsi"/>
          <w:b/>
          <w:sz w:val="24"/>
          <w:szCs w:val="24"/>
        </w:rPr>
        <w:t>DESTINO</w:t>
      </w:r>
      <w:r w:rsidRPr="00E23206">
        <w:rPr>
          <w:rFonts w:cstheme="minorHAnsi"/>
          <w:sz w:val="24"/>
          <w:szCs w:val="24"/>
        </w:rPr>
        <w:t>)</w:t>
      </w:r>
      <w:r w:rsidR="00273440" w:rsidRPr="00E23206">
        <w:rPr>
          <w:rStyle w:val="Refdenotaalpie"/>
          <w:rFonts w:cstheme="minorHAnsi"/>
          <w:sz w:val="24"/>
          <w:szCs w:val="24"/>
        </w:rPr>
        <w:footnoteReference w:id="1"/>
      </w:r>
    </w:p>
    <w:p w:rsidR="00E52AD9" w:rsidRPr="00E23206" w:rsidRDefault="00C327C8" w:rsidP="00E52AD9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>12.  Conclusiones</w:t>
      </w:r>
      <w:r w:rsidR="00273440" w:rsidRPr="00E23206">
        <w:rPr>
          <w:rStyle w:val="Refdenotaalpie"/>
          <w:rFonts w:cstheme="minorHAnsi"/>
          <w:sz w:val="24"/>
          <w:szCs w:val="24"/>
        </w:rPr>
        <w:footnoteReference w:id="2"/>
      </w:r>
    </w:p>
    <w:p w:rsidR="00C327C8" w:rsidRPr="00E23206" w:rsidRDefault="00C327C8" w:rsidP="00E52AD9">
      <w:pPr>
        <w:spacing w:after="0"/>
        <w:rPr>
          <w:rFonts w:cstheme="minorHAnsi"/>
          <w:sz w:val="24"/>
          <w:szCs w:val="24"/>
        </w:rPr>
      </w:pPr>
      <w:r w:rsidRPr="00E23206">
        <w:rPr>
          <w:rFonts w:cstheme="minorHAnsi"/>
          <w:sz w:val="24"/>
          <w:szCs w:val="24"/>
        </w:rPr>
        <w:t>13.  Clausura</w:t>
      </w:r>
    </w:p>
    <w:p w:rsidR="00135B12" w:rsidRDefault="00135B12">
      <w:pPr>
        <w:spacing w:after="20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:rsidR="00EE15FD" w:rsidRPr="00E23206" w:rsidRDefault="00EE15FD" w:rsidP="00E52AD9">
      <w:pPr>
        <w:spacing w:after="0"/>
        <w:rPr>
          <w:rFonts w:cstheme="minorHAnsi"/>
          <w:sz w:val="24"/>
          <w:szCs w:val="24"/>
        </w:rPr>
      </w:pPr>
    </w:p>
    <w:p w:rsidR="00EE15FD" w:rsidRPr="00C96CE9" w:rsidRDefault="00EE15FD" w:rsidP="00E52AD9">
      <w:pPr>
        <w:spacing w:after="0"/>
        <w:rPr>
          <w:rFonts w:ascii="Bernard MT Condensed" w:hAnsi="Bernard MT Condensed" w:cstheme="minorHAnsi"/>
          <w:b/>
          <w:color w:val="800000"/>
          <w:sz w:val="28"/>
          <w:szCs w:val="28"/>
        </w:rPr>
      </w:pPr>
      <w:r w:rsidRPr="00C96CE9">
        <w:rPr>
          <w:rFonts w:ascii="Bernard MT Condensed" w:hAnsi="Bernard MT Condensed" w:cstheme="minorHAnsi"/>
          <w:b/>
          <w:color w:val="800000"/>
          <w:sz w:val="28"/>
          <w:szCs w:val="28"/>
        </w:rPr>
        <w:t xml:space="preserve">Sobre el facilitador del taller </w:t>
      </w:r>
      <w:r w:rsidR="00C96CE9" w:rsidRPr="00C96CE9">
        <w:rPr>
          <w:rFonts w:ascii="Bernard MT Condensed" w:hAnsi="Bernard MT Condensed" w:cstheme="minorHAnsi"/>
          <w:b/>
          <w:color w:val="800000"/>
          <w:sz w:val="28"/>
          <w:szCs w:val="28"/>
        </w:rPr>
        <w:t xml:space="preserve">Dr. </w:t>
      </w:r>
      <w:r w:rsidRPr="00C96CE9">
        <w:rPr>
          <w:rFonts w:ascii="Bernard MT Condensed" w:hAnsi="Bernard MT Condensed" w:cstheme="minorHAnsi"/>
          <w:b/>
          <w:color w:val="800000"/>
          <w:sz w:val="28"/>
          <w:szCs w:val="28"/>
        </w:rPr>
        <w:t>Miguel J. Escala</w:t>
      </w:r>
    </w:p>
    <w:p w:rsidR="00EE15FD" w:rsidRPr="00E23206" w:rsidRDefault="00EE15FD" w:rsidP="00E52AD9">
      <w:pPr>
        <w:spacing w:after="0"/>
        <w:rPr>
          <w:rFonts w:cstheme="minorHAnsi"/>
          <w:sz w:val="24"/>
          <w:szCs w:val="24"/>
        </w:rPr>
      </w:pPr>
    </w:p>
    <w:p w:rsidR="00EE15FD" w:rsidRPr="009B057F" w:rsidRDefault="00EE15FD" w:rsidP="00EE15F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B057F">
        <w:rPr>
          <w:rFonts w:ascii="Arial" w:eastAsiaTheme="minorHAnsi" w:hAnsi="Arial" w:cs="Arial"/>
          <w:sz w:val="24"/>
          <w:szCs w:val="24"/>
        </w:rPr>
        <w:t xml:space="preserve">Miguel J. Escala es Catedrático en el Instituto Tecnológico de Santo Domingo (INTEC) en la República Dominicana, y Director fundador de la revista:  </w:t>
      </w:r>
      <w:r w:rsidRPr="009B057F">
        <w:rPr>
          <w:rFonts w:ascii="Arial" w:eastAsiaTheme="minorHAnsi" w:hAnsi="Arial" w:cs="Arial"/>
          <w:i/>
          <w:sz w:val="24"/>
          <w:szCs w:val="24"/>
        </w:rPr>
        <w:t>Ciencia y Educación</w:t>
      </w:r>
      <w:r w:rsidRPr="009B057F">
        <w:rPr>
          <w:rFonts w:ascii="Arial" w:eastAsiaTheme="minorHAnsi" w:hAnsi="Arial" w:cs="Arial"/>
          <w:sz w:val="24"/>
          <w:szCs w:val="24"/>
        </w:rPr>
        <w:t xml:space="preserve"> [</w:t>
      </w:r>
      <w:proofErr w:type="spellStart"/>
      <w:r w:rsidRPr="009B057F">
        <w:rPr>
          <w:rFonts w:ascii="Arial" w:eastAsiaTheme="minorHAnsi" w:hAnsi="Arial" w:cs="Arial"/>
          <w:i/>
          <w:sz w:val="24"/>
          <w:szCs w:val="24"/>
        </w:rPr>
        <w:t>Science</w:t>
      </w:r>
      <w:proofErr w:type="spellEnd"/>
      <w:r w:rsidRPr="009B057F">
        <w:rPr>
          <w:rFonts w:ascii="Arial" w:eastAsiaTheme="minorHAnsi" w:hAnsi="Arial" w:cs="Arial"/>
          <w:i/>
          <w:sz w:val="24"/>
          <w:szCs w:val="24"/>
        </w:rPr>
        <w:t xml:space="preserve"> and </w:t>
      </w:r>
      <w:proofErr w:type="spellStart"/>
      <w:r w:rsidRPr="009B057F">
        <w:rPr>
          <w:rFonts w:ascii="Arial" w:eastAsiaTheme="minorHAnsi" w:hAnsi="Arial" w:cs="Arial"/>
          <w:i/>
          <w:sz w:val="24"/>
          <w:szCs w:val="24"/>
        </w:rPr>
        <w:t>Education</w:t>
      </w:r>
      <w:proofErr w:type="spellEnd"/>
      <w:r w:rsidRPr="009B057F">
        <w:rPr>
          <w:rFonts w:ascii="Arial" w:eastAsiaTheme="minorHAnsi" w:hAnsi="Arial" w:cs="Arial"/>
          <w:sz w:val="24"/>
          <w:szCs w:val="24"/>
        </w:rPr>
        <w:t xml:space="preserve">]. 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>En 2005 el Dr. Escala fue</w:t>
      </w:r>
      <w:r w:rsidR="002C015B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electo como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Rector de INTEC, finalizando su mandato en 2011. Como Catedrático en INTEC ha estado a cargo de liderar el desarrollo de la versión on-line de la asignatura introductoria sobre “Orientación Académica e Institucional”</w:t>
      </w:r>
      <w:r w:rsidR="002C015B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>y fue Líder de la comisión para la definición de la Política de Internacionalización.</w:t>
      </w:r>
    </w:p>
    <w:p w:rsidR="00EE15FD" w:rsidRPr="009B057F" w:rsidRDefault="00EE15FD" w:rsidP="00EE15F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Recibió tanto su título de Doctorado como de Máster en Penn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State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University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>., universidad que le condecoró en 2007 con el “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Alumni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Fellow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Award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>”.  El Dr. Escala ha sido miembro del Comité de Directores del “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Higher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Education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Program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proofErr w:type="spellStart"/>
      <w:r w:rsidRPr="009B057F">
        <w:rPr>
          <w:rFonts w:ascii="Arial" w:eastAsiaTheme="minorHAnsi" w:hAnsi="Arial" w:cs="Arial"/>
          <w:sz w:val="24"/>
          <w:szCs w:val="24"/>
          <w:lang w:val="es-ES"/>
        </w:rPr>
        <w:t>Alumni</w:t>
      </w:r>
      <w:proofErr w:type="spellEnd"/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Council (HEPAC)</w:t>
      </w:r>
      <w:r w:rsidR="00CF34FB" w:rsidRPr="009B057F">
        <w:rPr>
          <w:rFonts w:ascii="Arial" w:eastAsiaTheme="minorHAnsi" w:hAnsi="Arial" w:cs="Arial"/>
          <w:sz w:val="24"/>
          <w:szCs w:val="24"/>
          <w:lang w:val="es-ES"/>
        </w:rPr>
        <w:t>”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de Penn </w:t>
      </w:r>
      <w:proofErr w:type="spellStart"/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>State</w:t>
      </w:r>
      <w:proofErr w:type="spellEnd"/>
      <w:r w:rsidR="00CF34FB" w:rsidRPr="009B057F">
        <w:rPr>
          <w:rFonts w:ascii="Arial" w:eastAsiaTheme="minorHAnsi" w:hAnsi="Arial" w:cs="Arial"/>
          <w:sz w:val="24"/>
          <w:szCs w:val="24"/>
          <w:lang w:val="es-ES"/>
        </w:rPr>
        <w:t>, durante seis años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.  </w:t>
      </w:r>
    </w:p>
    <w:p w:rsidR="00CF34FB" w:rsidRPr="009B057F" w:rsidRDefault="00CF34FB" w:rsidP="00EE15F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Ha sido Director ejecutivo del Instituto 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de Gestión y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Liderazgo 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>Universitario</w:t>
      </w:r>
      <w:r w:rsidR="009B057F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EE15FD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(IGLU),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>u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>n programa de la O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rganización 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Universitaria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>Interamericana</w:t>
      </w:r>
      <w:r w:rsidR="009B057F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</w:t>
      </w:r>
      <w:r w:rsidR="00EE15FD" w:rsidRPr="009B057F">
        <w:rPr>
          <w:rFonts w:ascii="Arial" w:eastAsiaTheme="minorHAnsi" w:hAnsi="Arial" w:cs="Arial"/>
          <w:sz w:val="24"/>
          <w:szCs w:val="24"/>
          <w:lang w:val="es-ES"/>
        </w:rPr>
        <w:t>(IOHE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-OUI), </w:t>
      </w:r>
      <w:r w:rsidR="009B057F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desde junio de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2012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>a diciembre de 2017. Como Director Ejecutivo de IGLU supervisó siete Centros Regionales de Argentina a Méjico y coordinó la implementación de una versión mixta del curso IGLU, que ha formado a alrededor de 800 administradores de la Educación Superior en América Latina en los últimos 5 años. Además coordinó la expansión de las acciones formativas de IGLU, c</w:t>
      </w:r>
      <w:r w:rsidR="00540C87" w:rsidRPr="009B057F">
        <w:rPr>
          <w:rFonts w:ascii="Arial" w:eastAsiaTheme="minorHAnsi" w:hAnsi="Arial" w:cs="Arial"/>
          <w:sz w:val="24"/>
          <w:szCs w:val="24"/>
          <w:lang w:val="es-ES"/>
        </w:rPr>
        <w:t>on Seminarios Alta Gerencia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, Cursos IGLU </w:t>
      </w:r>
      <w:r w:rsidR="00540C87"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 Especializados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y Micro Seminarios. </w:t>
      </w:r>
    </w:p>
    <w:p w:rsidR="00EE15FD" w:rsidRPr="009B057F" w:rsidRDefault="00CF34FB" w:rsidP="00EE15FD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eastAsiaTheme="minorHAnsi" w:hAnsi="Arial" w:cs="Arial"/>
          <w:sz w:val="24"/>
          <w:szCs w:val="24"/>
          <w:lang w:val="es-ES"/>
        </w:rPr>
      </w:pPr>
      <w:r w:rsidRPr="009B057F">
        <w:rPr>
          <w:rFonts w:ascii="Arial" w:eastAsiaTheme="minorHAnsi" w:hAnsi="Arial" w:cs="Arial"/>
          <w:sz w:val="24"/>
          <w:szCs w:val="24"/>
          <w:lang w:val="es-ES"/>
        </w:rPr>
        <w:t xml:space="preserve">Su libro </w:t>
      </w:r>
      <w:r w:rsidR="00C347FA" w:rsidRPr="009B057F">
        <w:rPr>
          <w:rFonts w:ascii="Arial" w:eastAsiaTheme="minorHAnsi" w:hAnsi="Arial" w:cs="Arial"/>
          <w:i/>
          <w:sz w:val="24"/>
          <w:szCs w:val="24"/>
          <w:lang w:val="es-ES"/>
        </w:rPr>
        <w:t>Supervisando Escuelas para el Desarrollo</w:t>
      </w:r>
      <w:r w:rsidRPr="009B057F">
        <w:rPr>
          <w:rFonts w:ascii="Arial" w:eastAsiaTheme="minorHAnsi" w:hAnsi="Arial" w:cs="Arial"/>
          <w:i/>
          <w:sz w:val="24"/>
          <w:szCs w:val="24"/>
          <w:lang w:val="es-ES"/>
        </w:rPr>
        <w:t xml:space="preserve"> </w:t>
      </w:r>
      <w:r w:rsidRPr="009B057F">
        <w:rPr>
          <w:rFonts w:ascii="Arial" w:eastAsiaTheme="minorHAnsi" w:hAnsi="Arial" w:cs="Arial"/>
          <w:sz w:val="24"/>
          <w:szCs w:val="24"/>
          <w:lang w:val="es-ES"/>
        </w:rPr>
        <w:t>recibió en 1997 el premio de la República Domi</w:t>
      </w:r>
      <w:r w:rsidR="00C347FA" w:rsidRPr="009B057F">
        <w:rPr>
          <w:rFonts w:ascii="Arial" w:eastAsiaTheme="minorHAnsi" w:hAnsi="Arial" w:cs="Arial"/>
          <w:sz w:val="24"/>
          <w:szCs w:val="24"/>
          <w:lang w:val="es-ES"/>
        </w:rPr>
        <w:t>nicana al mejor libro didáctico.  Trabaja en la preparación de una segunda edición actualizada.</w:t>
      </w:r>
    </w:p>
    <w:p w:rsidR="00EE15FD" w:rsidRPr="00E23206" w:rsidRDefault="00484029" w:rsidP="00EE15F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eastAsiaTheme="minorHAnsi" w:hAnsi="Arial" w:cs="Arial"/>
          <w:sz w:val="24"/>
          <w:szCs w:val="24"/>
          <w:lang w:val="es-ES"/>
        </w:rPr>
      </w:pPr>
      <w:hyperlink r:id="rId9" w:history="1">
        <w:r w:rsidR="00EE15FD" w:rsidRPr="00E23206">
          <w:rPr>
            <w:rFonts w:ascii="Arial" w:eastAsiaTheme="minorHAnsi" w:hAnsi="Arial" w:cs="Arial"/>
            <w:color w:val="0000FF" w:themeColor="hyperlink"/>
            <w:sz w:val="24"/>
            <w:szCs w:val="24"/>
            <w:u w:val="single"/>
            <w:lang w:val="es-ES"/>
          </w:rPr>
          <w:t>miguel.escala@intec.edu.do</w:t>
        </w:r>
      </w:hyperlink>
    </w:p>
    <w:p w:rsidR="00EE15FD" w:rsidRPr="00E23206" w:rsidRDefault="00EE15FD" w:rsidP="00EE15FD">
      <w:pPr>
        <w:spacing w:after="0" w:line="276" w:lineRule="auto"/>
        <w:jc w:val="both"/>
        <w:rPr>
          <w:rFonts w:ascii="Arial" w:eastAsiaTheme="minorHAnsi" w:hAnsi="Arial" w:cs="Arial"/>
          <w:b/>
          <w:sz w:val="24"/>
          <w:szCs w:val="24"/>
          <w:lang w:val="es-ES"/>
        </w:rPr>
      </w:pPr>
    </w:p>
    <w:p w:rsidR="00EE15FD" w:rsidRPr="00E23206" w:rsidRDefault="00EE15FD" w:rsidP="00E52AD9">
      <w:pPr>
        <w:spacing w:after="0"/>
        <w:rPr>
          <w:rFonts w:cstheme="minorHAnsi"/>
          <w:sz w:val="24"/>
          <w:szCs w:val="24"/>
        </w:rPr>
      </w:pPr>
    </w:p>
    <w:sectPr w:rsidR="00EE15FD" w:rsidRPr="00E23206" w:rsidSect="00644DB5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029" w:rsidRDefault="00484029" w:rsidP="00C327C8">
      <w:pPr>
        <w:spacing w:after="0" w:line="240" w:lineRule="auto"/>
      </w:pPr>
      <w:r>
        <w:separator/>
      </w:r>
    </w:p>
  </w:endnote>
  <w:endnote w:type="continuationSeparator" w:id="0">
    <w:p w:rsidR="00484029" w:rsidRDefault="00484029" w:rsidP="00C3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029" w:rsidRDefault="00484029" w:rsidP="00C327C8">
      <w:pPr>
        <w:spacing w:after="0" w:line="240" w:lineRule="auto"/>
      </w:pPr>
      <w:r>
        <w:separator/>
      </w:r>
    </w:p>
  </w:footnote>
  <w:footnote w:type="continuationSeparator" w:id="0">
    <w:p w:rsidR="00484029" w:rsidRDefault="00484029" w:rsidP="00C327C8">
      <w:pPr>
        <w:spacing w:after="0" w:line="240" w:lineRule="auto"/>
      </w:pPr>
      <w:r>
        <w:continuationSeparator/>
      </w:r>
    </w:p>
  </w:footnote>
  <w:footnote w:id="1">
    <w:p w:rsidR="00273440" w:rsidRPr="00273440" w:rsidRDefault="0027344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273440">
        <w:rPr>
          <w:b/>
          <w:lang w:val="es-ES"/>
        </w:rPr>
        <w:t>El “Destino”,</w:t>
      </w:r>
      <w:r w:rsidRPr="00652174">
        <w:rPr>
          <w:lang w:val="es-ES"/>
        </w:rPr>
        <w:t xml:space="preserve"> que inicialmente fue el </w:t>
      </w:r>
      <w:r>
        <w:rPr>
          <w:lang w:val="es-ES"/>
        </w:rPr>
        <w:t>“</w:t>
      </w:r>
      <w:proofErr w:type="spellStart"/>
      <w:r>
        <w:rPr>
          <w:lang w:val="es-ES"/>
        </w:rPr>
        <w:t>Delivery</w:t>
      </w:r>
      <w:proofErr w:type="spellEnd"/>
      <w:r>
        <w:rPr>
          <w:lang w:val="es-ES"/>
        </w:rPr>
        <w:t>” en la Indagación Apreciativa es un momento de realización de los proyectos.  En el taller solo se busca que se prevea la metodología para aproximarse a la ejecución, para dar seguimiento a los proyectos, e incluso para modificarlos si es necesario.</w:t>
      </w:r>
    </w:p>
  </w:footnote>
  <w:footnote w:id="2">
    <w:p w:rsidR="00273440" w:rsidRDefault="00273440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Pr="00652174">
        <w:rPr>
          <w:lang w:val="es-ES"/>
        </w:rPr>
        <w:t xml:space="preserve">El momento de Conclusiones es para escuchar sobre la experiencia del taller y el sentido de logro que tienen. </w:t>
      </w:r>
      <w:r>
        <w:rPr>
          <w:lang w:val="es-ES"/>
        </w:rPr>
        <w:t xml:space="preserve"> Se darán sugerencias para dar seguimiento a lo acordado</w:t>
      </w:r>
    </w:p>
    <w:p w:rsidR="00EE15FD" w:rsidRDefault="00EE15FD">
      <w:pPr>
        <w:pStyle w:val="Textonotapie"/>
        <w:rPr>
          <w:lang w:val="es-ES"/>
        </w:rPr>
      </w:pPr>
    </w:p>
    <w:p w:rsidR="00EE15FD" w:rsidRPr="00273440" w:rsidRDefault="00EE15FD">
      <w:pPr>
        <w:pStyle w:val="Textonotapie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9EB" w:rsidRDefault="0032455F">
    <w:pPr>
      <w:pStyle w:val="Encabezado"/>
    </w:pPr>
    <w:r>
      <w:rPr>
        <w:rFonts w:cstheme="minorHAnsi"/>
        <w:b/>
        <w:noProof/>
        <w:sz w:val="24"/>
        <w:szCs w:val="24"/>
        <w:lang w:val="es-ES" w:eastAsia="es-ES"/>
      </w:rPr>
      <w:drawing>
        <wp:inline distT="0" distB="0" distL="0" distR="0" wp14:anchorId="51F98203" wp14:editId="6BFD9D68">
          <wp:extent cx="2248629" cy="948055"/>
          <wp:effectExtent l="0" t="0" r="0" b="444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icerrectorado Internacionalización 2017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2380" cy="96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7B3793"/>
    <w:multiLevelType w:val="hybridMultilevel"/>
    <w:tmpl w:val="A4E096A8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7C8"/>
    <w:rsid w:val="0002740D"/>
    <w:rsid w:val="00135B12"/>
    <w:rsid w:val="00204B28"/>
    <w:rsid w:val="00273440"/>
    <w:rsid w:val="00297CF5"/>
    <w:rsid w:val="002C015B"/>
    <w:rsid w:val="002E1FBF"/>
    <w:rsid w:val="00310E29"/>
    <w:rsid w:val="0032455F"/>
    <w:rsid w:val="003550FA"/>
    <w:rsid w:val="0036303D"/>
    <w:rsid w:val="00397617"/>
    <w:rsid w:val="003E72A0"/>
    <w:rsid w:val="004039EB"/>
    <w:rsid w:val="004171C3"/>
    <w:rsid w:val="00425B25"/>
    <w:rsid w:val="00484029"/>
    <w:rsid w:val="004C0891"/>
    <w:rsid w:val="00534797"/>
    <w:rsid w:val="00540C87"/>
    <w:rsid w:val="005D1433"/>
    <w:rsid w:val="005D6205"/>
    <w:rsid w:val="00644DB5"/>
    <w:rsid w:val="006B10BE"/>
    <w:rsid w:val="006C12FA"/>
    <w:rsid w:val="006F79F1"/>
    <w:rsid w:val="00793AA2"/>
    <w:rsid w:val="007D5DCC"/>
    <w:rsid w:val="00911D42"/>
    <w:rsid w:val="009301FE"/>
    <w:rsid w:val="0093197D"/>
    <w:rsid w:val="00934E4A"/>
    <w:rsid w:val="009B057F"/>
    <w:rsid w:val="00A13221"/>
    <w:rsid w:val="00A75C33"/>
    <w:rsid w:val="00B65E70"/>
    <w:rsid w:val="00C20BC1"/>
    <w:rsid w:val="00C327C8"/>
    <w:rsid w:val="00C347FA"/>
    <w:rsid w:val="00C46951"/>
    <w:rsid w:val="00C96CE9"/>
    <w:rsid w:val="00CC7F12"/>
    <w:rsid w:val="00CF34FB"/>
    <w:rsid w:val="00D12DC4"/>
    <w:rsid w:val="00DE0A2E"/>
    <w:rsid w:val="00E05FA6"/>
    <w:rsid w:val="00E23206"/>
    <w:rsid w:val="00E23DCC"/>
    <w:rsid w:val="00E52AD9"/>
    <w:rsid w:val="00E82B00"/>
    <w:rsid w:val="00EB4E07"/>
    <w:rsid w:val="00EE15FD"/>
    <w:rsid w:val="00EF1C6E"/>
    <w:rsid w:val="00F13BC2"/>
    <w:rsid w:val="00F9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8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27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27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27C8"/>
    <w:rPr>
      <w:rFonts w:eastAsia="MS Mincho"/>
      <w:sz w:val="20"/>
      <w:szCs w:val="20"/>
      <w:lang w:val="es-DO"/>
    </w:rPr>
  </w:style>
  <w:style w:type="character" w:styleId="Refdenotaalpie">
    <w:name w:val="footnote reference"/>
    <w:basedOn w:val="Fuentedeprrafopredeter"/>
    <w:uiPriority w:val="99"/>
    <w:semiHidden/>
    <w:unhideWhenUsed/>
    <w:rsid w:val="00C327C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0B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9EB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9EB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55F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7C8"/>
    <w:pPr>
      <w:spacing w:after="160" w:line="259" w:lineRule="auto"/>
    </w:pPr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27C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C327C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327C8"/>
    <w:rPr>
      <w:rFonts w:eastAsia="MS Mincho"/>
      <w:sz w:val="20"/>
      <w:szCs w:val="20"/>
      <w:lang w:val="es-DO"/>
    </w:rPr>
  </w:style>
  <w:style w:type="character" w:styleId="Refdenotaalpie">
    <w:name w:val="footnote reference"/>
    <w:basedOn w:val="Fuentedeprrafopredeter"/>
    <w:uiPriority w:val="99"/>
    <w:semiHidden/>
    <w:unhideWhenUsed/>
    <w:rsid w:val="00C327C8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C20BC1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39EB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039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39EB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4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455F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guel.escala@intec.edu.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D023A-C067-4796-B29B-688DBD39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773</Words>
  <Characters>4257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escalablanco</dc:creator>
  <cp:lastModifiedBy>Lola Beltran</cp:lastModifiedBy>
  <cp:revision>4</cp:revision>
  <dcterms:created xsi:type="dcterms:W3CDTF">2018-04-02T11:24:00Z</dcterms:created>
  <dcterms:modified xsi:type="dcterms:W3CDTF">2018-04-02T14:40:00Z</dcterms:modified>
</cp:coreProperties>
</file>